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BB2" w:rsidRDefault="00E34BB2" w:rsidP="00E34BB2">
      <w:pPr>
        <w:pStyle w:val="a3"/>
        <w:jc w:val="both"/>
        <w:rPr>
          <w:rFonts w:ascii="Verdana" w:hAnsi="Verdana"/>
          <w:color w:val="333333"/>
          <w:sz w:val="18"/>
          <w:szCs w:val="18"/>
        </w:rPr>
      </w:pPr>
      <w:r>
        <w:rPr>
          <w:rFonts w:ascii="Verdana" w:hAnsi="Verdana"/>
          <w:color w:val="333333"/>
          <w:sz w:val="18"/>
          <w:szCs w:val="18"/>
          <w:lang w:val="bg-BG"/>
        </w:rPr>
        <w:t>Р</w:t>
      </w:r>
      <w:r>
        <w:rPr>
          <w:rFonts w:ascii="Verdana" w:hAnsi="Verdana"/>
          <w:color w:val="333333"/>
          <w:sz w:val="18"/>
          <w:szCs w:val="18"/>
        </w:rPr>
        <w:t>  А  Й  О  Н  Е  Н    С  Ъ  Д -  гр. В  И  Д  И  Н</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Адрес: гр. Видин, пл. “Бдинци” № 1, Съдебна палата, тел. 600782, факс 600791</w:t>
      </w:r>
    </w:p>
    <w:p w:rsidR="00E34BB2" w:rsidRDefault="00E34BB2" w:rsidP="00E34BB2">
      <w:pPr>
        <w:pStyle w:val="a3"/>
        <w:jc w:val="both"/>
        <w:rPr>
          <w:rFonts w:ascii="Verdana" w:hAnsi="Verdana"/>
          <w:color w:val="333333"/>
          <w:sz w:val="18"/>
          <w:szCs w:val="18"/>
        </w:rPr>
      </w:pPr>
      <w:r>
        <w:rPr>
          <w:rFonts w:ascii="Verdana" w:hAnsi="Verdana"/>
          <w:b/>
          <w:bCs/>
          <w:color w:val="333333"/>
          <w:sz w:val="18"/>
          <w:szCs w:val="18"/>
        </w:rPr>
        <w:t>В Ъ Т Р Е Ш Н И   П Р А В И Л А</w:t>
      </w:r>
    </w:p>
    <w:p w:rsidR="00E34BB2" w:rsidRDefault="00E34BB2" w:rsidP="00E34BB2">
      <w:pPr>
        <w:pStyle w:val="a3"/>
        <w:jc w:val="both"/>
        <w:rPr>
          <w:rFonts w:ascii="Verdana" w:hAnsi="Verdana"/>
          <w:color w:val="333333"/>
          <w:sz w:val="18"/>
          <w:szCs w:val="18"/>
        </w:rPr>
      </w:pPr>
      <w:r>
        <w:rPr>
          <w:rFonts w:ascii="Verdana" w:hAnsi="Verdana"/>
          <w:b/>
          <w:bCs/>
          <w:color w:val="333333"/>
          <w:sz w:val="18"/>
          <w:szCs w:val="18"/>
        </w:rPr>
        <w:t>ЗА СЛУЧАЙНО РАЗПРЕДЕЛЕНИЕ НА ДЕЛАТА</w:t>
      </w:r>
    </w:p>
    <w:p w:rsidR="00E34BB2" w:rsidRDefault="00E34BB2" w:rsidP="00E34BB2">
      <w:pPr>
        <w:pStyle w:val="a3"/>
        <w:jc w:val="both"/>
        <w:rPr>
          <w:rFonts w:ascii="Verdana" w:hAnsi="Verdana"/>
          <w:color w:val="333333"/>
          <w:sz w:val="18"/>
          <w:szCs w:val="18"/>
        </w:rPr>
      </w:pPr>
      <w:r>
        <w:rPr>
          <w:rFonts w:ascii="Verdana" w:hAnsi="Verdana"/>
          <w:b/>
          <w:bCs/>
          <w:color w:val="333333"/>
          <w:sz w:val="18"/>
          <w:szCs w:val="18"/>
        </w:rPr>
        <w:t>В РАЙОНЕН СЪД-ВИДИН</w:t>
      </w:r>
    </w:p>
    <w:p w:rsidR="00E34BB2" w:rsidRDefault="00E34BB2" w:rsidP="00E34BB2">
      <w:pPr>
        <w:pStyle w:val="a3"/>
        <w:jc w:val="both"/>
        <w:rPr>
          <w:rFonts w:ascii="Verdana" w:hAnsi="Verdana"/>
          <w:color w:val="333333"/>
          <w:sz w:val="18"/>
          <w:szCs w:val="18"/>
        </w:rPr>
      </w:pPr>
      <w:r>
        <w:rPr>
          <w:rFonts w:ascii="Verdana" w:hAnsi="Verdana"/>
          <w:b/>
          <w:bCs/>
          <w:color w:val="333333"/>
          <w:sz w:val="18"/>
          <w:szCs w:val="18"/>
        </w:rPr>
        <w:t>               Вътрешните правила регламентират начина и реда на разпределение на образуваните дела в Районен съд-Видин, основани на принципите на безпристрастност,равномерност на натоварването и качеството на правораздаване, ефективност и прозрачност на съдебната дейност и контрола върху това разпределение.</w:t>
      </w:r>
    </w:p>
    <w:p w:rsidR="00E34BB2" w:rsidRDefault="00E34BB2" w:rsidP="00E34BB2">
      <w:pPr>
        <w:pStyle w:val="a3"/>
        <w:jc w:val="both"/>
        <w:rPr>
          <w:rFonts w:ascii="Verdana" w:hAnsi="Verdana"/>
          <w:color w:val="333333"/>
          <w:sz w:val="18"/>
          <w:szCs w:val="18"/>
        </w:rPr>
      </w:pPr>
      <w:r>
        <w:rPr>
          <w:rFonts w:ascii="Verdana" w:hAnsi="Verdana"/>
          <w:b/>
          <w:bCs/>
          <w:color w:val="333333"/>
          <w:sz w:val="18"/>
          <w:szCs w:val="18"/>
        </w:rPr>
        <w:t>              Чл.1  Разпределението на делата в Районен съд-Видин се извършва на принципа на случайния подбор чрез електронно разпределение, съобразно поредността на постъпването им,по материя и видове дела.  </w:t>
      </w:r>
    </w:p>
    <w:p w:rsidR="00E34BB2" w:rsidRDefault="00E34BB2" w:rsidP="00E34BB2">
      <w:pPr>
        <w:pStyle w:val="a3"/>
        <w:jc w:val="both"/>
        <w:rPr>
          <w:rFonts w:ascii="Verdana" w:hAnsi="Verdana"/>
          <w:color w:val="333333"/>
          <w:sz w:val="18"/>
          <w:szCs w:val="18"/>
        </w:rPr>
      </w:pPr>
      <w:r>
        <w:rPr>
          <w:rFonts w:ascii="Verdana" w:hAnsi="Verdana"/>
          <w:b/>
          <w:bCs/>
          <w:color w:val="333333"/>
          <w:sz w:val="18"/>
          <w:szCs w:val="18"/>
        </w:rPr>
        <w:t>              Чл.2 Новопостъпилите книжа, по които се образуват дела, се предават за разпределение в деня на образуването им или на следващия работен ден при съобразяване последователността на завеждането им.</w:t>
      </w:r>
    </w:p>
    <w:p w:rsidR="00E34BB2" w:rsidRDefault="00E34BB2" w:rsidP="00E34BB2">
      <w:pPr>
        <w:pStyle w:val="a3"/>
        <w:jc w:val="both"/>
        <w:rPr>
          <w:rFonts w:ascii="Verdana" w:hAnsi="Verdana"/>
          <w:color w:val="333333"/>
          <w:sz w:val="18"/>
          <w:szCs w:val="18"/>
        </w:rPr>
      </w:pPr>
      <w:r>
        <w:rPr>
          <w:rFonts w:ascii="Verdana" w:hAnsi="Verdana"/>
          <w:b/>
          <w:bCs/>
          <w:color w:val="333333"/>
          <w:sz w:val="18"/>
          <w:szCs w:val="18"/>
        </w:rPr>
        <w:t>              Чл.3 Използваната програма за разпределение на делата по случаен ред и документиране на направения избор е Law Choiceверсия 4.0,предоставена от Висшия съдебен съвет.</w:t>
      </w:r>
    </w:p>
    <w:p w:rsidR="00E34BB2" w:rsidRDefault="00E34BB2" w:rsidP="00E34BB2">
      <w:pPr>
        <w:pStyle w:val="a3"/>
        <w:jc w:val="both"/>
        <w:rPr>
          <w:rFonts w:ascii="Verdana" w:hAnsi="Verdana"/>
          <w:color w:val="333333"/>
          <w:sz w:val="18"/>
          <w:szCs w:val="18"/>
        </w:rPr>
      </w:pPr>
      <w:r>
        <w:rPr>
          <w:rFonts w:ascii="Verdana" w:hAnsi="Verdana"/>
          <w:b/>
          <w:bCs/>
          <w:color w:val="333333"/>
          <w:sz w:val="18"/>
          <w:szCs w:val="18"/>
        </w:rPr>
        <w:t>Чл.4 Техническите действия по разпределението на делата се извършва от заместник-председателя на съда на основание нарочна заповед, а в негово отсъствие - от председателя на съдаили от друг, определен със заповед,съдия.               </w:t>
      </w:r>
    </w:p>
    <w:p w:rsidR="00E34BB2" w:rsidRDefault="00E34BB2" w:rsidP="00E34BB2">
      <w:pPr>
        <w:pStyle w:val="a3"/>
        <w:jc w:val="both"/>
        <w:rPr>
          <w:rFonts w:ascii="Verdana" w:hAnsi="Verdana"/>
          <w:color w:val="333333"/>
          <w:sz w:val="18"/>
          <w:szCs w:val="18"/>
        </w:rPr>
      </w:pPr>
      <w:r>
        <w:rPr>
          <w:rFonts w:ascii="Verdana" w:hAnsi="Verdana"/>
          <w:b/>
          <w:bCs/>
          <w:color w:val="333333"/>
          <w:sz w:val="18"/>
          <w:szCs w:val="18"/>
        </w:rPr>
        <w:t>Чл.5 Програмата за случайно разпределение на делата позволява да се проследи начина на разпределение на делото на съответния съдия-докладчик и кои съдии са участвали в разпределението.</w:t>
      </w:r>
    </w:p>
    <w:p w:rsidR="00E34BB2" w:rsidRDefault="00E34BB2" w:rsidP="00E34BB2">
      <w:pPr>
        <w:pStyle w:val="a3"/>
        <w:jc w:val="both"/>
        <w:rPr>
          <w:rFonts w:ascii="Verdana" w:hAnsi="Verdana"/>
          <w:color w:val="333333"/>
          <w:sz w:val="18"/>
          <w:szCs w:val="18"/>
        </w:rPr>
      </w:pPr>
      <w:r>
        <w:rPr>
          <w:rFonts w:ascii="Verdana" w:hAnsi="Verdana"/>
          <w:b/>
          <w:bCs/>
          <w:color w:val="333333"/>
          <w:sz w:val="18"/>
          <w:szCs w:val="18"/>
        </w:rPr>
        <w:t>               Чл.6 При разпределението се изготвят протоколи на хартиен носител, подписани от разпределящия,които се прилагат към съответните дела.</w:t>
      </w:r>
    </w:p>
    <w:p w:rsidR="00E34BB2" w:rsidRDefault="00E34BB2" w:rsidP="00E34BB2">
      <w:pPr>
        <w:pStyle w:val="a3"/>
        <w:jc w:val="both"/>
        <w:rPr>
          <w:rFonts w:ascii="Verdana" w:hAnsi="Verdana"/>
          <w:color w:val="333333"/>
          <w:sz w:val="18"/>
          <w:szCs w:val="18"/>
        </w:rPr>
      </w:pPr>
      <w:r>
        <w:rPr>
          <w:rFonts w:ascii="Verdana" w:hAnsi="Verdana"/>
          <w:b/>
          <w:bCs/>
          <w:color w:val="333333"/>
          <w:sz w:val="18"/>
          <w:szCs w:val="18"/>
        </w:rPr>
        <w:t>                 Чл.7 Програмата за разпределение на делата на случаен принцип е инсталирана на компютрите на председателя и на заместник-председателя на съда. </w:t>
      </w:r>
      <w:r>
        <w:rPr>
          <w:rFonts w:ascii="Verdana" w:hAnsi="Verdana"/>
          <w:color w:val="333333"/>
          <w:sz w:val="18"/>
          <w:szCs w:val="18"/>
        </w:rPr>
        <w:t>Достъпът до програмата се осъществява с парола.</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                Чл.8 Началната информация, необходима за извършване на разпределението, въведена от системния администратор, включва:</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             - всички подсъдни на РС-Видин дела, класифицирани по видове;</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             - имената на всички съдии-докладчици, които разглеждат делата и определената в проценти натовареност на всеки съдия</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              -  номер на делата с определен код на вида на делото съобразно Инструкцията за работа с програмата.</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lastRenderedPageBreak/>
        <w:t>              При изменение на обстоятелствата или възникнала необходимост системният администратор извършва актуализация на началната информация.                </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              Чл.9 Оторизираните за работа с програмата за случаен избор лица, посочени в чл.4, използват същата, като при разпределението на делата въвеждат следните данни: година на образуване на делото, вид на делото съобразно класифицирането в програмата, регистрационен-входящ номер на преписката по реда на постъпване, автоматично генериране или посочване на номера на делото. Маркира се принципа на избор /случаен, който по подразбиране е първоначално определен за всяко едно дело, по дежурство, определен, не участват/ и същия се извършва съобразно резолюцията на разпределящия. В резултат на тези действия програмата автоматично, въз основа на отчетената натовареност на отделните съдии към момента, определя съдията-докладчик.</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             При използването на особените режими на разпределяне на дела “определен докладчик” или “без участие” на конкретен докладчик, както и при отказ направен избор, програмата изисква посочване на основанието за това, което гарантира прозрачност на действието. Посочените причини се вписват в протокола за съответния избор и се съхраняват в архива на програмата.</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                В архива на програмата се записват идентификацията на разпределящия, всяко от извършените от него действия по избора, всяко от посочените от него основания за отказ или замяна на вече определен докладчик, всяко от посочените основания за извършване на избор при особен режим (при определен докладчик или без участието на конкретен докладчик), както и датата и часа на всяко действие. Програмата не позволява промяна на съдържанието на архива и гарантира документираност и прозрачност на всеки избор на докладчик.</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              Изборът се извършва в присъствието на съдебен деловодител-  допълнителна гаранция за прозрачност.</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              За разпределението на всяко дело програмата за случаен подбор на съдия докладчик автоматично  генерира протокол от извършения избор, който се изпраща в сървъра на ВСС и се визуализира чрез интернет страницата на ВСС, откъдето се разпечатва на хартиен носител, подписва се от извършилият разпределението и се прилага към всяко отделно дело.</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              Чл.10 Когато са налице причини, поради които съществува основание разпределеното дело на съответен съдия да не бъде възлагано на него, включително и при грешка на разпределящия относно  вида на делото, се използва опция „отказ", който отказ от направения избор се обосновава писмено в съответния прозорец на програмата чрез посочване на конкретната причина.</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              Чл.11 В началото на всяка календарна година системният администратор</w:t>
      </w:r>
      <w:r>
        <w:rPr>
          <w:rFonts w:ascii="Verdana" w:hAnsi="Verdana"/>
          <w:b/>
          <w:bCs/>
          <w:color w:val="333333"/>
          <w:sz w:val="18"/>
          <w:szCs w:val="18"/>
        </w:rPr>
        <w:t>занулява броя на делата в програмата.</w:t>
      </w:r>
    </w:p>
    <w:p w:rsidR="00E34BB2" w:rsidRDefault="00E34BB2" w:rsidP="00E34BB2">
      <w:pPr>
        <w:pStyle w:val="a3"/>
        <w:jc w:val="both"/>
        <w:rPr>
          <w:rFonts w:ascii="Verdana" w:hAnsi="Verdana"/>
          <w:color w:val="333333"/>
          <w:sz w:val="18"/>
          <w:szCs w:val="18"/>
        </w:rPr>
      </w:pPr>
      <w:r>
        <w:rPr>
          <w:rFonts w:ascii="Verdana" w:hAnsi="Verdana"/>
          <w:b/>
          <w:bCs/>
          <w:color w:val="333333"/>
          <w:sz w:val="18"/>
          <w:szCs w:val="18"/>
        </w:rPr>
        <w:t>               Чл.12  Разпределението по видове дела се извършва както следва:   </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                       1.граждански дела-по  предмета на делото: Семеен  кодекс /СК/; Закон за собствеността /ЗС/; Кодекс на труда /КТ/; Кодекс на труда-уволнение /КТ-уволнение/; Закон за задълженията и договорите /ЗЗД/; Делби; Закон за кадастъра и имотния регистър /ЗКИР/;  чл. 422 ГПК; Други;</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       2.частни граждански дела-по предмета на делото: Заповедно производство /ЗП/; Обезпечения на бъдещ иск /Об/; Съдебни поръчки /СП/; Други</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В разпределението на посочените дела  се включват всички граждански състави:</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съдия Даниел Димитров-І състав,председател</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lastRenderedPageBreak/>
        <w:t>                съдия Нина Николова – ІІ състав</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                съдия Милена Стоянова – ІІІ състав</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                съдия Тодор Попиванов  - V състав</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                съдия Владимир Крумов – VІІ състав</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            3. наказателни дела-наказателни дела от общ характер /НОХД/; наказателни дела от общ характер- чл.382 НПК /НОХД-чл.382 НПК/; наказателни дела от частен характер /НДЧХ/; частни наказателни дела /ЧНД/; частни наказателни дела-МН /мярка за неотклонение/; частни наказателни дела-ЗЗ /закон за здравето/; частни наказателни дела-23-25 НК /кумулации/; частни наказателни дела-производства по чл.243 ал.4 НПК и чл.244 ал.5 НПК /ЧНД- чл.243 ал.4 НПК и чл.244 ал.5 НПК/ и административно-наказателни дела/ АНД/.</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В разпределението на посочените дела  се включват всички наказателни състави:</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съдия Пламен Петков – І състав,заместник председател</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                съдия Вероника Станкова – ІІ състав</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                съдия Мариела Йосифова – ІІІ състав</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                съдия Андрей Дечев – ІV състав</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                съдия Даниел Цветков – V състав</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                 Чл.13 При отвод на всички съдии от наказателните  състави по дадено дело, разпределението се извършва като се използва опция „ вид дела –наказателни дела-отводи” и включва само съдиите от гражданските  състави .</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                При отвод на всички съдии от гражданските състави по дадено дело, разпределението се извършва като се използва опция  „вид дела -граждански дела-отводи” и включва само съдиите от наказателните състави .</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При разпределението се спазва принципа на случаен избор.</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Чл.14 Процентната натовареност на съдиите се определя:</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1.На административния ръководител-председател намалена натовареност в гражданската материя-не по-малка от 70%;</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2.На заместника на административния ръководител-заместник председател намалена натовареност в наказателната материя-не по-малка от 90%;</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3.На съдиите от гражданските и наказателни състави-100% за всички видове дела.</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Чл.15 За периода на отсъствие по обективни причини, съдии се изключват от разпределението на дела.</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               В индивидуалният профил на съдиите по изключение се извършва корекция и изравняване на броя разпределени по видове дела, с цел да не се допуска неравномерно натоварване, а именно:</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lastRenderedPageBreak/>
        <w:t>-при ползване на отпуск,поради временна нетрудоспособност повече от една седмица.</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-при отпуск за отглеждане на дете.</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-при встъпване в длъжност.</w:t>
      </w:r>
    </w:p>
    <w:p w:rsidR="00E34BB2" w:rsidRDefault="00E34BB2" w:rsidP="00E34BB2">
      <w:pPr>
        <w:pStyle w:val="a3"/>
        <w:jc w:val="both"/>
        <w:rPr>
          <w:rFonts w:ascii="Verdana" w:hAnsi="Verdana"/>
          <w:color w:val="333333"/>
          <w:sz w:val="18"/>
          <w:szCs w:val="18"/>
        </w:rPr>
      </w:pPr>
      <w:r>
        <w:rPr>
          <w:rFonts w:ascii="Verdana" w:hAnsi="Verdana"/>
          <w:b/>
          <w:bCs/>
          <w:color w:val="333333"/>
          <w:sz w:val="18"/>
          <w:szCs w:val="18"/>
        </w:rPr>
        <w:t>Чл.16 Изключения от принципа за случайно разпределение на делата се допуска в следните случаи:</w:t>
      </w:r>
    </w:p>
    <w:p w:rsidR="00E34BB2" w:rsidRDefault="00E34BB2" w:rsidP="00E34BB2">
      <w:pPr>
        <w:pStyle w:val="a3"/>
        <w:jc w:val="both"/>
        <w:rPr>
          <w:rFonts w:ascii="Verdana" w:hAnsi="Verdana"/>
          <w:color w:val="333333"/>
          <w:sz w:val="18"/>
          <w:szCs w:val="18"/>
        </w:rPr>
      </w:pPr>
      <w:r>
        <w:rPr>
          <w:rFonts w:ascii="Verdana" w:hAnsi="Verdana"/>
          <w:b/>
          <w:bCs/>
          <w:color w:val="333333"/>
          <w:sz w:val="18"/>
          <w:szCs w:val="18"/>
        </w:rPr>
        <w:t>1. </w:t>
      </w:r>
      <w:r>
        <w:rPr>
          <w:rFonts w:ascii="Verdana" w:hAnsi="Verdana"/>
          <w:color w:val="333333"/>
          <w:sz w:val="18"/>
          <w:szCs w:val="18"/>
        </w:rPr>
        <w:t>Прилагане на подбора чрез опция </w:t>
      </w:r>
      <w:r>
        <w:rPr>
          <w:rFonts w:ascii="Verdana" w:hAnsi="Verdana"/>
          <w:b/>
          <w:bCs/>
          <w:color w:val="333333"/>
          <w:sz w:val="18"/>
          <w:szCs w:val="18"/>
        </w:rPr>
        <w:t>„определен”</w:t>
      </w:r>
    </w:p>
    <w:p w:rsidR="00E34BB2" w:rsidRDefault="00E34BB2" w:rsidP="00E34BB2">
      <w:pPr>
        <w:pStyle w:val="a3"/>
        <w:jc w:val="both"/>
        <w:rPr>
          <w:rFonts w:ascii="Verdana" w:hAnsi="Verdana"/>
          <w:color w:val="333333"/>
          <w:sz w:val="18"/>
          <w:szCs w:val="18"/>
        </w:rPr>
      </w:pPr>
      <w:r>
        <w:rPr>
          <w:rFonts w:ascii="Verdana" w:hAnsi="Verdana"/>
          <w:b/>
          <w:bCs/>
          <w:color w:val="333333"/>
          <w:sz w:val="18"/>
          <w:szCs w:val="18"/>
        </w:rPr>
        <w:t>А/ По граждански дела</w:t>
      </w:r>
    </w:p>
    <w:p w:rsidR="00E34BB2" w:rsidRDefault="00E34BB2" w:rsidP="00E34BB2">
      <w:pPr>
        <w:pStyle w:val="a3"/>
        <w:jc w:val="both"/>
        <w:rPr>
          <w:rFonts w:ascii="Verdana" w:hAnsi="Verdana"/>
          <w:color w:val="333333"/>
          <w:sz w:val="18"/>
          <w:szCs w:val="18"/>
        </w:rPr>
      </w:pPr>
      <w:r>
        <w:rPr>
          <w:rFonts w:ascii="Verdana" w:hAnsi="Verdana"/>
          <w:b/>
          <w:bCs/>
          <w:color w:val="333333"/>
          <w:sz w:val="18"/>
          <w:szCs w:val="18"/>
        </w:rPr>
        <w:t>- </w:t>
      </w:r>
      <w:r>
        <w:rPr>
          <w:rFonts w:ascii="Verdana" w:hAnsi="Verdana"/>
          <w:color w:val="333333"/>
          <w:sz w:val="18"/>
          <w:szCs w:val="18"/>
        </w:rPr>
        <w:t>след отмяна на съдебен акт, прекратяващ производството по делото, същото  се разпределя на първоначално определения докладчик;</w:t>
      </w:r>
    </w:p>
    <w:p w:rsidR="00E34BB2" w:rsidRDefault="00E34BB2" w:rsidP="00E34BB2">
      <w:pPr>
        <w:pStyle w:val="a3"/>
        <w:jc w:val="both"/>
        <w:rPr>
          <w:rFonts w:ascii="Verdana" w:hAnsi="Verdana"/>
          <w:color w:val="333333"/>
          <w:sz w:val="18"/>
          <w:szCs w:val="18"/>
        </w:rPr>
      </w:pPr>
      <w:r>
        <w:rPr>
          <w:rFonts w:ascii="Verdana" w:hAnsi="Verdana"/>
          <w:b/>
          <w:bCs/>
          <w:color w:val="333333"/>
          <w:sz w:val="18"/>
          <w:szCs w:val="18"/>
        </w:rPr>
        <w:t>- при разпределяне на производството по обективно и субективно съединени искове, новообразуваното дело по отделните искове се разпределя на първоначално определения докладчик;</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-при връщане на дело на първоинстанционен съд поради неправилното му администриране, при следващо внасяне на делото от същия съд то се разпределя на първоначално определения докладчик.</w:t>
      </w:r>
    </w:p>
    <w:p w:rsidR="00E34BB2" w:rsidRDefault="00E34BB2" w:rsidP="00E34BB2">
      <w:pPr>
        <w:pStyle w:val="a3"/>
        <w:jc w:val="both"/>
        <w:rPr>
          <w:rFonts w:ascii="Verdana" w:hAnsi="Verdana"/>
          <w:color w:val="333333"/>
          <w:sz w:val="18"/>
          <w:szCs w:val="18"/>
        </w:rPr>
      </w:pPr>
      <w:r>
        <w:rPr>
          <w:rFonts w:ascii="Verdana" w:hAnsi="Verdana"/>
          <w:b/>
          <w:bCs/>
          <w:color w:val="333333"/>
          <w:sz w:val="18"/>
          <w:szCs w:val="18"/>
        </w:rPr>
        <w:t>Б/ По наказателни и административно–наказателни дела</w:t>
      </w:r>
    </w:p>
    <w:p w:rsidR="00E34BB2" w:rsidRDefault="00E34BB2" w:rsidP="00E34BB2">
      <w:pPr>
        <w:pStyle w:val="a3"/>
        <w:jc w:val="both"/>
        <w:rPr>
          <w:rFonts w:ascii="Verdana" w:hAnsi="Verdana"/>
          <w:color w:val="333333"/>
          <w:sz w:val="18"/>
          <w:szCs w:val="18"/>
        </w:rPr>
      </w:pPr>
      <w:r>
        <w:rPr>
          <w:rFonts w:ascii="Verdana" w:hAnsi="Verdana"/>
          <w:b/>
          <w:bCs/>
          <w:color w:val="333333"/>
          <w:sz w:val="18"/>
          <w:szCs w:val="18"/>
        </w:rPr>
        <w:t>-п</w:t>
      </w:r>
      <w:r>
        <w:rPr>
          <w:rFonts w:ascii="Verdana" w:hAnsi="Verdana"/>
          <w:color w:val="333333"/>
          <w:sz w:val="18"/>
          <w:szCs w:val="18"/>
        </w:rPr>
        <w:t>ри прекратяване на съдебно производство и връщане на делото на прокурор за допълнително разследване, при последващо внасяне на същото за разглеждане в съда, образуваното под нов номер дело се разпределя на първоначално определения съдия-докладчик;</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-след отмяна на съдебен акт, прекратяващ производството по делото на основание подсъдност, новообразуваното дело се разпределя на първоначално определения докладчик;</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-при връщане на дело на първоинстанционен съд поради неправилното му администриране, при следващо внасяне на делото от същия съд то се разпределя на първоначално определения докладчик.</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2. Прилагане на подбора чрез опция „</w:t>
      </w:r>
      <w:r>
        <w:rPr>
          <w:rFonts w:ascii="Verdana" w:hAnsi="Verdana"/>
          <w:b/>
          <w:bCs/>
          <w:color w:val="333333"/>
          <w:sz w:val="18"/>
          <w:szCs w:val="18"/>
        </w:rPr>
        <w:t>не участва”</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-при законно основание в подбора на докладчик на някое дело да не участват определени магистрати. Това става в случаите на ползване на платен годишен отпуск, отпуск по болест, командировка и други законови основания, указващи невъзможност конкретен докладчик да участва в разглеждането на делото;</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-при отмяна/обезсилване на съдебен акт и връщане на делото за разглеждане от друг състав на същия съд, делото се разпределя на случаен принцип, но без участието на съдията-докладчик, постановил отменения/обезсиления съдебен акт.</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3. Прилагане на подбора чрез опция „</w:t>
      </w:r>
      <w:r>
        <w:rPr>
          <w:rFonts w:ascii="Verdana" w:hAnsi="Verdana"/>
          <w:b/>
          <w:bCs/>
          <w:color w:val="333333"/>
          <w:sz w:val="18"/>
          <w:szCs w:val="18"/>
        </w:rPr>
        <w:t>по дежурство”</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 xml:space="preserve">-по частни граждански дела – откази от наследство, разрешения за теглене на влогове или разпореждане с имущество на малолетни или поставени под запрещение, разрешения за сключване на граждански брак от ненавършили пълнолетие лица, разрешение за участие в доброволна делба на недееспособни, разрешение за сключване на граждански брак от </w:t>
      </w:r>
      <w:r>
        <w:rPr>
          <w:rFonts w:ascii="Verdana" w:hAnsi="Verdana"/>
          <w:color w:val="333333"/>
          <w:sz w:val="18"/>
          <w:szCs w:val="18"/>
        </w:rPr>
        <w:lastRenderedPageBreak/>
        <w:t>ненавършили пълнолетие лица, разрешение за разпореждане със семейното жилище-лична собственост, назначаване на особени представители за сключване на правни сделки.</w:t>
      </w:r>
    </w:p>
    <w:p w:rsidR="00E34BB2" w:rsidRDefault="00E34BB2" w:rsidP="00E34BB2">
      <w:pPr>
        <w:pStyle w:val="a3"/>
        <w:jc w:val="both"/>
        <w:rPr>
          <w:rFonts w:ascii="Verdana" w:hAnsi="Verdana"/>
          <w:color w:val="333333"/>
          <w:sz w:val="18"/>
          <w:szCs w:val="18"/>
        </w:rPr>
      </w:pPr>
      <w:r>
        <w:rPr>
          <w:rFonts w:ascii="Verdana" w:hAnsi="Verdana"/>
          <w:b/>
          <w:bCs/>
          <w:color w:val="333333"/>
          <w:sz w:val="18"/>
          <w:szCs w:val="18"/>
        </w:rPr>
        <w:t>-по частни наказателни дела</w:t>
      </w:r>
      <w:r>
        <w:rPr>
          <w:rFonts w:ascii="Verdana" w:hAnsi="Verdana"/>
          <w:color w:val="333333"/>
          <w:sz w:val="18"/>
          <w:szCs w:val="18"/>
        </w:rPr>
        <w:t> – по искания на органите на досъдебното производство за разрешение или одобрение на процесуални действия, разпити по чл.222 и 223 НПК, производства по мерки за неотклонение, по молби за разкриване на банкова или търговска тайна по Закона за кредитните институции /ЗКИ/,  Закон за публичното предлагане на ценни книги /ЗППЦК/, Закон за електронните съобщения /ЗЕС/, искане по чл. 159а от НПК, Закон за специалните разузнавателни средства и Закона за пазарите на финансовите инструменти /ЗПФИ/;</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-по административно-наказателни дела – за дребно хулиганство по УБДХ или Закон за опазване на обществения ред при провеждане на спортни мероприятия /ЗООРПСМ/.</w:t>
      </w:r>
    </w:p>
    <w:p w:rsidR="00E34BB2" w:rsidRDefault="00E34BB2" w:rsidP="00E34BB2">
      <w:pPr>
        <w:pStyle w:val="a3"/>
        <w:jc w:val="both"/>
        <w:rPr>
          <w:rFonts w:ascii="Verdana" w:hAnsi="Verdana"/>
          <w:color w:val="333333"/>
          <w:sz w:val="18"/>
          <w:szCs w:val="18"/>
          <w:lang w:val="bg-BG"/>
        </w:rPr>
      </w:pPr>
      <w:r>
        <w:rPr>
          <w:rFonts w:ascii="Verdana" w:hAnsi="Verdana"/>
          <w:color w:val="333333"/>
          <w:sz w:val="18"/>
          <w:szCs w:val="18"/>
        </w:rPr>
        <w:t>Делата по дежурство се разглеждат без значение от вида им /наказателни или граждански/, от дежурния за деня съдия и се разпределят чрез програмата за случайно разпределение по следния въведен критерий: наказателни дела-дежурство и граждански дела-дежурство, включващ всички съдии.</w:t>
      </w:r>
    </w:p>
    <w:p w:rsidR="008F1ACA" w:rsidRPr="008F1ACA" w:rsidRDefault="008F1ACA" w:rsidP="008F1ACA">
      <w:pPr>
        <w:spacing w:after="0" w:line="240" w:lineRule="auto"/>
        <w:jc w:val="both"/>
        <w:rPr>
          <w:rFonts w:ascii="Verdana" w:eastAsia="Times New Roman" w:hAnsi="Verdana" w:cs="Times New Roman"/>
          <w:color w:val="333333"/>
          <w:sz w:val="18"/>
          <w:szCs w:val="18"/>
          <w:lang w:val="bg-BG"/>
        </w:rPr>
      </w:pPr>
      <w:r w:rsidRPr="008F1ACA">
        <w:rPr>
          <w:rFonts w:ascii="Verdana" w:eastAsia="Times New Roman" w:hAnsi="Verdana" w:cs="Times New Roman"/>
          <w:color w:val="333333"/>
          <w:sz w:val="18"/>
          <w:szCs w:val="18"/>
          <w:lang w:val="bg-BG"/>
        </w:rPr>
        <w:t>Постъпили молби за издаване на изпълнителен лист или съдебно удостоверение, се докладват на разпределения по делото съдия докладчик. В случай на отсъствие на съдията докладчик по делото молбите</w:t>
      </w:r>
      <w:r>
        <w:rPr>
          <w:rFonts w:ascii="Verdana" w:eastAsia="Times New Roman" w:hAnsi="Verdana" w:cs="Times New Roman"/>
          <w:color w:val="333333"/>
          <w:sz w:val="18"/>
          <w:szCs w:val="18"/>
          <w:lang w:val="bg-BG"/>
        </w:rPr>
        <w:t>,</w:t>
      </w:r>
      <w:r w:rsidRPr="008F1ACA">
        <w:rPr>
          <w:rFonts w:ascii="Verdana" w:eastAsia="Times New Roman" w:hAnsi="Verdana" w:cs="Times New Roman"/>
          <w:color w:val="333333"/>
          <w:sz w:val="18"/>
          <w:szCs w:val="18"/>
          <w:lang w:val="bg-BG"/>
        </w:rPr>
        <w:t xml:space="preserve"> се докладва</w:t>
      </w:r>
      <w:r>
        <w:rPr>
          <w:rFonts w:ascii="Verdana" w:eastAsia="Times New Roman" w:hAnsi="Verdana" w:cs="Times New Roman"/>
          <w:color w:val="333333"/>
          <w:sz w:val="18"/>
          <w:szCs w:val="18"/>
          <w:lang w:val="bg-BG"/>
        </w:rPr>
        <w:t>т</w:t>
      </w:r>
      <w:r w:rsidRPr="008F1ACA">
        <w:rPr>
          <w:rFonts w:ascii="Verdana" w:eastAsia="Times New Roman" w:hAnsi="Verdana" w:cs="Times New Roman"/>
          <w:color w:val="333333"/>
          <w:sz w:val="18"/>
          <w:szCs w:val="18"/>
          <w:lang w:val="bg-BG"/>
        </w:rPr>
        <w:t xml:space="preserve"> за произнасяне </w:t>
      </w:r>
      <w:r>
        <w:rPr>
          <w:rFonts w:ascii="Verdana" w:eastAsia="Times New Roman" w:hAnsi="Verdana" w:cs="Times New Roman"/>
          <w:color w:val="333333"/>
          <w:sz w:val="18"/>
          <w:szCs w:val="18"/>
          <w:lang w:val="bg-BG"/>
        </w:rPr>
        <w:t>от</w:t>
      </w:r>
      <w:r w:rsidRPr="008F1ACA">
        <w:rPr>
          <w:rFonts w:ascii="Verdana" w:eastAsia="Times New Roman" w:hAnsi="Verdana" w:cs="Times New Roman"/>
          <w:color w:val="333333"/>
          <w:sz w:val="18"/>
          <w:szCs w:val="18"/>
          <w:lang w:val="bg-BG"/>
        </w:rPr>
        <w:t xml:space="preserve"> дежурния </w:t>
      </w:r>
      <w:r>
        <w:rPr>
          <w:rFonts w:ascii="Verdana" w:eastAsia="Times New Roman" w:hAnsi="Verdana" w:cs="Times New Roman"/>
          <w:color w:val="333333"/>
          <w:sz w:val="18"/>
          <w:szCs w:val="18"/>
          <w:lang w:val="bg-BG"/>
        </w:rPr>
        <w:t>съдия з</w:t>
      </w:r>
      <w:r w:rsidRPr="008F1ACA">
        <w:rPr>
          <w:rFonts w:ascii="Verdana" w:eastAsia="Times New Roman" w:hAnsi="Verdana" w:cs="Times New Roman"/>
          <w:color w:val="333333"/>
          <w:sz w:val="18"/>
          <w:szCs w:val="18"/>
          <w:lang w:val="bg-BG"/>
        </w:rPr>
        <w:t>а деня</w:t>
      </w:r>
      <w:bookmarkStart w:id="0" w:name="_GoBack"/>
      <w:bookmarkEnd w:id="0"/>
      <w:r w:rsidRPr="008F1ACA">
        <w:rPr>
          <w:rFonts w:ascii="Verdana" w:eastAsia="Times New Roman" w:hAnsi="Verdana" w:cs="Times New Roman"/>
          <w:color w:val="333333"/>
          <w:sz w:val="18"/>
          <w:szCs w:val="18"/>
          <w:lang w:val="bg-BG"/>
        </w:rPr>
        <w:t>.</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В началото на всеки календарен месец административният ръководител-председател одобрява графика на дежурствата на магистратите от РС – Видин за съответния месец.</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4. Повторно разпределение на вече разпределено дело</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Определеният на случаен принцип съдия – докладчик може да бъде заменен в следните случаи:</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-при самоотвод  или направен </w:t>
      </w:r>
      <w:r>
        <w:rPr>
          <w:rFonts w:ascii="Verdana" w:hAnsi="Verdana"/>
          <w:b/>
          <w:bCs/>
          <w:color w:val="333333"/>
          <w:sz w:val="18"/>
          <w:szCs w:val="18"/>
        </w:rPr>
        <w:t>отвод</w:t>
      </w:r>
      <w:r>
        <w:rPr>
          <w:rFonts w:ascii="Verdana" w:hAnsi="Verdana"/>
          <w:color w:val="333333"/>
          <w:sz w:val="18"/>
          <w:szCs w:val="18"/>
        </w:rPr>
        <w:t>, който е бил уважен;</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-когато се налага на друго основание смяна на съдия-докладчика.</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-при отсъствие по обективни причини /в тези случаи в програмата задължително се посочва  името на предходния докладчик, периода през който ще отсъства и основанието за това/.</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Новият съдия-докладчик се определя на принципа на случаен избор.</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5. При постъпила една и съща искова молба няколко пъти и образувани няколко дела, молбата остава да се разглежда по първото образувано дело от първия разпределен докладчик съгласно случайното разпределение на делата.</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6. При обединяването на няколко различни дела с различен предмет, но между едни и същи страни, или когато имат връзка помежду си, за разглеждане в едно производство /служебно съединяване на искове/, то продължава под номера на първото образувано дело и се разглежда от определения по това дело докладчик.</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Чл.17 В първия работен ден на всяка седмица системният администратор извършва архивиране на електронен носител на натрупаната информация за разпределението на делата от предходната седмица,съхранява същата и носи отговорност за опазването й. Информацията се съхранява за срок не по-малък от най-продължителния срок за архивирането на делата.</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 xml:space="preserve">Чл.18 Законосъобразността на работа с програмата за случайно разпределение на делата технически се обезпечава от системния администратор, контрола върху работата по случайното </w:t>
      </w:r>
      <w:r>
        <w:rPr>
          <w:rFonts w:ascii="Verdana" w:hAnsi="Verdana"/>
          <w:color w:val="333333"/>
          <w:sz w:val="18"/>
          <w:szCs w:val="18"/>
        </w:rPr>
        <w:lastRenderedPageBreak/>
        <w:t>разпределение на делата ежедневно се осъществява от заместник председателя на Районен съд-Видин, при подписване на протоколите за разпределените дела.</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Вътрешните правила за случайно разпределение на делата са създадени в съответствие с Единна методика по приложението на принципа за случайното разпределение на делата в районните, окръжните, административните, военните, апелативните и специализираните съдилища, приета с Решение на ВСС по Протокол № 57/04.12.2014 г. и отменят действащите предходни Правила за случайно разпределение на делата в РС-Видин.</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Настоящите правила влизат в сила от деня на утвърждаването им и могат да бъдат допълвани, изменени и отменени със заповед на административния ръководител-председател на съда.</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 </w:t>
      </w:r>
    </w:p>
    <w:p w:rsidR="00E34BB2" w:rsidRDefault="00E34BB2" w:rsidP="00E34BB2">
      <w:pPr>
        <w:pStyle w:val="a3"/>
        <w:jc w:val="both"/>
        <w:rPr>
          <w:rFonts w:ascii="Verdana" w:hAnsi="Verdana"/>
          <w:color w:val="333333"/>
          <w:sz w:val="18"/>
          <w:szCs w:val="18"/>
        </w:rPr>
      </w:pPr>
      <w:r>
        <w:rPr>
          <w:rFonts w:ascii="Verdana" w:hAnsi="Verdana"/>
          <w:color w:val="333333"/>
          <w:sz w:val="18"/>
          <w:szCs w:val="18"/>
        </w:rPr>
        <w:t>Утвърдени със заповед № 9 / 14.01.2015 г на Председателя на Районен Съд Видин</w:t>
      </w:r>
    </w:p>
    <w:p w:rsidR="009821E7" w:rsidRDefault="009821E7"/>
    <w:sectPr w:rsidR="009821E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B2"/>
    <w:rsid w:val="00275DA7"/>
    <w:rsid w:val="003E2B8F"/>
    <w:rsid w:val="008F1ACA"/>
    <w:rsid w:val="009821E7"/>
    <w:rsid w:val="009D79A8"/>
    <w:rsid w:val="00E34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4BB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4B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2131</Words>
  <Characters>12148</Characters>
  <Application>Microsoft Office Word</Application>
  <DocSecurity>0</DocSecurity>
  <Lines>101</Lines>
  <Paragraphs>28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Диляна Вълкова</dc:creator>
  <cp:lastModifiedBy>Elena Qkimova</cp:lastModifiedBy>
  <cp:revision>3</cp:revision>
  <dcterms:created xsi:type="dcterms:W3CDTF">2022-11-18T13:20:00Z</dcterms:created>
  <dcterms:modified xsi:type="dcterms:W3CDTF">2022-11-18T13:25:00Z</dcterms:modified>
</cp:coreProperties>
</file>